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0B" w:rsidRPr="00504EE0" w:rsidRDefault="003545DF" w:rsidP="003545DF">
      <w:pPr>
        <w:jc w:val="center"/>
        <w:rPr>
          <w:b/>
          <w:sz w:val="32"/>
          <w:szCs w:val="32"/>
        </w:rPr>
      </w:pPr>
      <w:r w:rsidRPr="00504EE0">
        <w:rPr>
          <w:b/>
          <w:sz w:val="32"/>
          <w:szCs w:val="32"/>
        </w:rPr>
        <w:t>Вопросы к контрольной работе ПГС</w:t>
      </w:r>
      <w:bookmarkStart w:id="0" w:name="_GoBack"/>
      <w:bookmarkEnd w:id="0"/>
    </w:p>
    <w:p w:rsidR="00504EE0" w:rsidRPr="00504EE0" w:rsidRDefault="00504EE0" w:rsidP="00504EE0">
      <w:pPr>
        <w:pStyle w:val="3"/>
        <w:spacing w:before="120"/>
        <w:ind w:left="0" w:firstLine="708"/>
        <w:jc w:val="both"/>
        <w:rPr>
          <w:rFonts w:asciiTheme="minorHAnsi" w:hAnsiTheme="minorHAnsi"/>
          <w:sz w:val="28"/>
          <w:szCs w:val="28"/>
        </w:rPr>
      </w:pPr>
      <w:r w:rsidRPr="00504EE0">
        <w:rPr>
          <w:rFonts w:asciiTheme="minorHAnsi" w:hAnsiTheme="minorHAnsi"/>
          <w:sz w:val="28"/>
          <w:szCs w:val="28"/>
        </w:rPr>
        <w:t>Контрольная работа состоит из письменных ответов на четыре вопроса, печатные работы к зачету не принимаются.</w:t>
      </w:r>
    </w:p>
    <w:p w:rsidR="00504EE0" w:rsidRPr="00504EE0" w:rsidRDefault="00504EE0" w:rsidP="00504EE0">
      <w:pPr>
        <w:spacing w:before="120"/>
        <w:ind w:firstLine="851"/>
        <w:jc w:val="both"/>
        <w:rPr>
          <w:sz w:val="28"/>
          <w:szCs w:val="28"/>
        </w:rPr>
      </w:pPr>
      <w:r w:rsidRPr="00504EE0">
        <w:rPr>
          <w:sz w:val="28"/>
          <w:szCs w:val="28"/>
        </w:rPr>
        <w:t xml:space="preserve">Вариант для решения контрольной работы определяется последней цифрой зачетной книжки.  Например, если последняя цифра номера зачетной книжки 0, то из списка для проработки выбираются вопросы 10, 20, 30, </w:t>
      </w:r>
      <w:proofErr w:type="gramStart"/>
      <w:r w:rsidRPr="00504EE0">
        <w:rPr>
          <w:sz w:val="28"/>
          <w:szCs w:val="28"/>
        </w:rPr>
        <w:t>40,  если</w:t>
      </w:r>
      <w:proofErr w:type="gramEnd"/>
      <w:r w:rsidRPr="00504EE0">
        <w:rPr>
          <w:sz w:val="28"/>
          <w:szCs w:val="28"/>
        </w:rPr>
        <w:t xml:space="preserve"> 5, то прорабатываются вопросы 5, 15, 25, 35.</w:t>
      </w:r>
    </w:p>
    <w:p w:rsidR="00504EE0" w:rsidRPr="00504EE0" w:rsidRDefault="00504EE0" w:rsidP="00504EE0">
      <w:pPr>
        <w:spacing w:before="120"/>
        <w:ind w:firstLine="851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В конце работы указывается использованная литература, ставится подпись студента и дата.</w:t>
      </w:r>
    </w:p>
    <w:p w:rsidR="00504EE0" w:rsidRPr="00504EE0" w:rsidRDefault="00504EE0" w:rsidP="003545DF">
      <w:pPr>
        <w:jc w:val="center"/>
        <w:rPr>
          <w:sz w:val="28"/>
          <w:szCs w:val="28"/>
        </w:rPr>
      </w:pPr>
    </w:p>
    <w:p w:rsidR="003545DF" w:rsidRPr="00504EE0" w:rsidRDefault="003545DF" w:rsidP="00AE0D4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 xml:space="preserve">Охрана Труда в Конституции </w:t>
      </w:r>
      <w:proofErr w:type="gramStart"/>
      <w:r w:rsidRPr="00504EE0">
        <w:rPr>
          <w:sz w:val="28"/>
          <w:szCs w:val="28"/>
        </w:rPr>
        <w:t>РФ  и</w:t>
      </w:r>
      <w:proofErr w:type="gramEnd"/>
      <w:r w:rsidRPr="00504EE0">
        <w:rPr>
          <w:sz w:val="28"/>
          <w:szCs w:val="28"/>
        </w:rPr>
        <w:t xml:space="preserve"> в Трудовом кодексе РФ.</w:t>
      </w:r>
      <w:r w:rsidRPr="00504EE0">
        <w:rPr>
          <w:sz w:val="28"/>
          <w:szCs w:val="28"/>
        </w:rPr>
        <w:t xml:space="preserve"> О</w:t>
      </w:r>
      <w:r w:rsidRPr="00504EE0">
        <w:rPr>
          <w:sz w:val="28"/>
          <w:szCs w:val="28"/>
        </w:rPr>
        <w:t>сновные направления государственной политик</w:t>
      </w:r>
      <w:r w:rsidRPr="00504EE0">
        <w:rPr>
          <w:sz w:val="28"/>
          <w:szCs w:val="28"/>
        </w:rPr>
        <w:t>и в области охраны труда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Государственное управление охраной труда. Система управления охр</w:t>
      </w:r>
      <w:r w:rsidRPr="00504EE0">
        <w:rPr>
          <w:sz w:val="28"/>
          <w:szCs w:val="28"/>
        </w:rPr>
        <w:t>а</w:t>
      </w:r>
      <w:r w:rsidRPr="00504EE0">
        <w:rPr>
          <w:sz w:val="28"/>
          <w:szCs w:val="28"/>
        </w:rPr>
        <w:t>ной труда в организации</w:t>
      </w:r>
      <w:r w:rsidRPr="00504EE0">
        <w:rPr>
          <w:sz w:val="28"/>
          <w:szCs w:val="28"/>
        </w:rPr>
        <w:t>.</w:t>
      </w:r>
    </w:p>
    <w:p w:rsidR="003545DF" w:rsidRPr="00504EE0" w:rsidRDefault="003545DF" w:rsidP="000E39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Социальное партнерство. Комитеты (комиссии) по охране труда. Их функции и за</w:t>
      </w:r>
      <w:r w:rsidRPr="00504EE0">
        <w:rPr>
          <w:sz w:val="28"/>
          <w:szCs w:val="28"/>
        </w:rPr>
        <w:t>дачи</w:t>
      </w:r>
      <w:r w:rsidRPr="00504EE0">
        <w:rPr>
          <w:sz w:val="28"/>
          <w:szCs w:val="28"/>
        </w:rPr>
        <w:t>.</w:t>
      </w:r>
      <w:r w:rsidRPr="00504EE0">
        <w:rPr>
          <w:sz w:val="28"/>
          <w:szCs w:val="28"/>
        </w:rPr>
        <w:t xml:space="preserve"> </w:t>
      </w:r>
      <w:r w:rsidRPr="00504EE0">
        <w:rPr>
          <w:sz w:val="28"/>
          <w:szCs w:val="28"/>
        </w:rPr>
        <w:t>Коллективный договор</w:t>
      </w:r>
      <w:r w:rsidRPr="00504EE0">
        <w:rPr>
          <w:sz w:val="28"/>
          <w:szCs w:val="28"/>
        </w:rPr>
        <w:t xml:space="preserve">. </w:t>
      </w:r>
      <w:r w:rsidRPr="00504EE0">
        <w:rPr>
          <w:sz w:val="28"/>
          <w:szCs w:val="28"/>
        </w:rPr>
        <w:t>Финансирование меропри</w:t>
      </w:r>
      <w:r w:rsidRPr="00504EE0">
        <w:rPr>
          <w:sz w:val="28"/>
          <w:szCs w:val="28"/>
        </w:rPr>
        <w:t>ятий по охране труда</w:t>
      </w:r>
      <w:r w:rsidRPr="00504EE0">
        <w:rPr>
          <w:sz w:val="28"/>
          <w:szCs w:val="28"/>
        </w:rPr>
        <w:t>.</w:t>
      </w:r>
    </w:p>
    <w:p w:rsidR="003545DF" w:rsidRPr="00504EE0" w:rsidRDefault="003545DF" w:rsidP="00DE744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Обязанности работодателя по обеспечению безопасных условий и охр</w:t>
      </w:r>
      <w:r w:rsidRPr="00504EE0">
        <w:rPr>
          <w:sz w:val="28"/>
          <w:szCs w:val="28"/>
        </w:rPr>
        <w:t>а</w:t>
      </w:r>
      <w:r w:rsidRPr="00504EE0">
        <w:rPr>
          <w:sz w:val="28"/>
          <w:szCs w:val="28"/>
        </w:rPr>
        <w:t>ны труда</w:t>
      </w:r>
      <w:r w:rsidRPr="00504EE0">
        <w:rPr>
          <w:sz w:val="28"/>
          <w:szCs w:val="28"/>
        </w:rPr>
        <w:t>.</w:t>
      </w:r>
      <w:r w:rsidRPr="00504EE0">
        <w:rPr>
          <w:sz w:val="28"/>
          <w:szCs w:val="28"/>
        </w:rPr>
        <w:t xml:space="preserve"> </w:t>
      </w:r>
      <w:r w:rsidRPr="00504EE0">
        <w:rPr>
          <w:sz w:val="28"/>
          <w:szCs w:val="28"/>
        </w:rPr>
        <w:t>Обязанности работников в о</w:t>
      </w:r>
      <w:r w:rsidRPr="00504EE0">
        <w:rPr>
          <w:sz w:val="28"/>
          <w:szCs w:val="28"/>
        </w:rPr>
        <w:t>бласти охраны труда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Аттестация рабочих мест на соответствие требованиям и нормам по о</w:t>
      </w:r>
      <w:r w:rsidRPr="00504EE0">
        <w:rPr>
          <w:sz w:val="28"/>
          <w:szCs w:val="28"/>
        </w:rPr>
        <w:t>х</w:t>
      </w:r>
      <w:r w:rsidRPr="00504EE0">
        <w:rPr>
          <w:sz w:val="28"/>
          <w:szCs w:val="28"/>
        </w:rPr>
        <w:t>ране труда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Ответственность за несоблюдение требован</w:t>
      </w:r>
      <w:r w:rsidRPr="00504EE0">
        <w:rPr>
          <w:sz w:val="28"/>
          <w:szCs w:val="28"/>
        </w:rPr>
        <w:t>ий и норм по охране труда</w:t>
      </w:r>
      <w:r w:rsidRPr="00504EE0">
        <w:rPr>
          <w:sz w:val="28"/>
          <w:szCs w:val="28"/>
        </w:rPr>
        <w:t>.</w:t>
      </w:r>
    </w:p>
    <w:p w:rsidR="003545DF" w:rsidRPr="00504EE0" w:rsidRDefault="003545DF" w:rsidP="0054137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Государственный контроль и надзор за соблюдением законодател</w:t>
      </w:r>
      <w:r w:rsidRPr="00504EE0">
        <w:rPr>
          <w:sz w:val="28"/>
          <w:szCs w:val="28"/>
        </w:rPr>
        <w:t>ь</w:t>
      </w:r>
      <w:r w:rsidRPr="00504EE0">
        <w:rPr>
          <w:sz w:val="28"/>
          <w:szCs w:val="28"/>
        </w:rPr>
        <w:t>с</w:t>
      </w:r>
      <w:r w:rsidRPr="00504EE0">
        <w:rPr>
          <w:sz w:val="28"/>
          <w:szCs w:val="28"/>
        </w:rPr>
        <w:t>тва по охране труда</w:t>
      </w:r>
      <w:r w:rsidRPr="00504EE0">
        <w:rPr>
          <w:sz w:val="28"/>
          <w:szCs w:val="28"/>
        </w:rPr>
        <w:t>.</w:t>
      </w:r>
      <w:r w:rsidRPr="00504EE0">
        <w:rPr>
          <w:sz w:val="28"/>
          <w:szCs w:val="28"/>
        </w:rPr>
        <w:t xml:space="preserve"> </w:t>
      </w:r>
      <w:r w:rsidRPr="00504EE0">
        <w:rPr>
          <w:sz w:val="28"/>
          <w:szCs w:val="28"/>
        </w:rPr>
        <w:t xml:space="preserve">Общественный контроль и надзор за </w:t>
      </w:r>
      <w:r w:rsidRPr="00504EE0">
        <w:rPr>
          <w:sz w:val="28"/>
          <w:szCs w:val="28"/>
        </w:rPr>
        <w:t>охраной труда на предприятии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Организация обучения безопасн</w:t>
      </w:r>
      <w:r w:rsidRPr="00504EE0">
        <w:rPr>
          <w:sz w:val="28"/>
          <w:szCs w:val="28"/>
        </w:rPr>
        <w:t>ости труда на предприятии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Расследование несчастных случаев на производстве. Классификация н</w:t>
      </w:r>
      <w:r w:rsidRPr="00504EE0">
        <w:rPr>
          <w:sz w:val="28"/>
          <w:szCs w:val="28"/>
        </w:rPr>
        <w:t>е</w:t>
      </w:r>
      <w:r w:rsidRPr="00504EE0">
        <w:rPr>
          <w:sz w:val="28"/>
          <w:szCs w:val="28"/>
        </w:rPr>
        <w:t xml:space="preserve">счастных случаев. Квалификационные признаки несчастных случаев </w:t>
      </w:r>
      <w:r w:rsidRPr="00504EE0">
        <w:rPr>
          <w:sz w:val="28"/>
          <w:szCs w:val="28"/>
        </w:rPr>
        <w:t>на производстве</w:t>
      </w:r>
      <w:r w:rsidRPr="00504EE0">
        <w:rPr>
          <w:sz w:val="28"/>
          <w:szCs w:val="28"/>
        </w:rPr>
        <w:t>.</w:t>
      </w:r>
      <w:r w:rsidRPr="00504EE0">
        <w:rPr>
          <w:sz w:val="28"/>
          <w:szCs w:val="28"/>
        </w:rPr>
        <w:t xml:space="preserve"> </w:t>
      </w:r>
      <w:r w:rsidRPr="00504EE0">
        <w:rPr>
          <w:sz w:val="28"/>
          <w:szCs w:val="28"/>
        </w:rPr>
        <w:t>Перв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>очередные меры, принимаемые в связи с несчастным случаем на прои</w:t>
      </w:r>
      <w:r w:rsidRPr="00504EE0">
        <w:rPr>
          <w:sz w:val="28"/>
          <w:szCs w:val="28"/>
        </w:rPr>
        <w:t>з</w:t>
      </w:r>
      <w:r w:rsidRPr="00504EE0">
        <w:rPr>
          <w:sz w:val="28"/>
          <w:szCs w:val="28"/>
        </w:rPr>
        <w:t>водстве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Виды обеспечения по социальному страхованию от несчастных случаев и профессиональных</w:t>
      </w:r>
      <w:r w:rsidRPr="00504EE0">
        <w:rPr>
          <w:sz w:val="28"/>
          <w:szCs w:val="28"/>
        </w:rPr>
        <w:t xml:space="preserve"> заболеваний на производстве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Защитное заземление.</w:t>
      </w:r>
      <w:r w:rsidRPr="00504EE0">
        <w:rPr>
          <w:sz w:val="28"/>
          <w:szCs w:val="28"/>
        </w:rPr>
        <w:t xml:space="preserve"> Расчет защитного заземления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 xml:space="preserve">Защитное </w:t>
      </w:r>
      <w:proofErr w:type="spellStart"/>
      <w:r w:rsidRPr="00504EE0">
        <w:rPr>
          <w:sz w:val="28"/>
          <w:szCs w:val="28"/>
        </w:rPr>
        <w:t>занулени</w:t>
      </w:r>
      <w:r w:rsidRPr="00504EE0">
        <w:rPr>
          <w:sz w:val="28"/>
          <w:szCs w:val="28"/>
        </w:rPr>
        <w:t>е</w:t>
      </w:r>
      <w:proofErr w:type="spellEnd"/>
      <w:r w:rsidRPr="00504EE0">
        <w:rPr>
          <w:sz w:val="28"/>
          <w:szCs w:val="28"/>
        </w:rPr>
        <w:t xml:space="preserve">. Расчет защитного </w:t>
      </w:r>
      <w:proofErr w:type="spellStart"/>
      <w:r w:rsidRPr="00504EE0">
        <w:rPr>
          <w:sz w:val="28"/>
          <w:szCs w:val="28"/>
        </w:rPr>
        <w:t>зануления</w:t>
      </w:r>
      <w:proofErr w:type="spellEnd"/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Факторы, влияющие на степень поражения человека электрическим т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>ком. Классификация помещени</w:t>
      </w:r>
      <w:r w:rsidRPr="00504EE0">
        <w:rPr>
          <w:sz w:val="28"/>
          <w:szCs w:val="28"/>
        </w:rPr>
        <w:t xml:space="preserve">й по </w:t>
      </w:r>
      <w:proofErr w:type="spellStart"/>
      <w:r w:rsidRPr="00504EE0">
        <w:rPr>
          <w:sz w:val="28"/>
          <w:szCs w:val="28"/>
        </w:rPr>
        <w:t>электроопасности</w:t>
      </w:r>
      <w:proofErr w:type="spellEnd"/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Защита зданий и сооружений от прямого удара молнии. Порядок расч</w:t>
      </w:r>
      <w:r w:rsidRPr="00504EE0">
        <w:rPr>
          <w:sz w:val="28"/>
          <w:szCs w:val="28"/>
        </w:rPr>
        <w:t>е</w:t>
      </w:r>
      <w:r w:rsidRPr="00504EE0">
        <w:rPr>
          <w:sz w:val="28"/>
          <w:szCs w:val="28"/>
        </w:rPr>
        <w:t>та одиночного</w:t>
      </w:r>
      <w:r w:rsidRPr="00504EE0">
        <w:rPr>
          <w:sz w:val="28"/>
          <w:szCs w:val="28"/>
        </w:rPr>
        <w:t xml:space="preserve"> стержневого молниеотвода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 xml:space="preserve">Безопасность </w:t>
      </w:r>
      <w:proofErr w:type="gramStart"/>
      <w:r w:rsidRPr="00504EE0">
        <w:rPr>
          <w:sz w:val="28"/>
          <w:szCs w:val="28"/>
        </w:rPr>
        <w:t>эксплуатации  сосудов</w:t>
      </w:r>
      <w:proofErr w:type="gramEnd"/>
      <w:r w:rsidRPr="00504EE0">
        <w:rPr>
          <w:sz w:val="28"/>
          <w:szCs w:val="28"/>
        </w:rPr>
        <w:t>, работающих под давлен</w:t>
      </w:r>
      <w:r w:rsidRPr="00504EE0">
        <w:rPr>
          <w:sz w:val="28"/>
          <w:szCs w:val="28"/>
        </w:rPr>
        <w:t>и</w:t>
      </w:r>
      <w:r w:rsidRPr="00504EE0">
        <w:rPr>
          <w:sz w:val="28"/>
          <w:szCs w:val="28"/>
        </w:rPr>
        <w:t>ем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lastRenderedPageBreak/>
        <w:t>Влияние микроклимата на организм человека. Организация работ в условиях охлаждающего клим</w:t>
      </w:r>
      <w:r w:rsidRPr="00504EE0">
        <w:rPr>
          <w:sz w:val="28"/>
          <w:szCs w:val="28"/>
        </w:rPr>
        <w:t>а</w:t>
      </w:r>
      <w:r w:rsidRPr="00504EE0">
        <w:rPr>
          <w:sz w:val="28"/>
          <w:szCs w:val="28"/>
        </w:rPr>
        <w:t>та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Влияние микроклимата на организм человека. Организация работ в у</w:t>
      </w:r>
      <w:r w:rsidRPr="00504EE0">
        <w:rPr>
          <w:sz w:val="28"/>
          <w:szCs w:val="28"/>
        </w:rPr>
        <w:t>с</w:t>
      </w:r>
      <w:r w:rsidRPr="00504EE0">
        <w:rPr>
          <w:sz w:val="28"/>
          <w:szCs w:val="28"/>
        </w:rPr>
        <w:t>ловия</w:t>
      </w:r>
      <w:r w:rsidRPr="00504EE0">
        <w:rPr>
          <w:sz w:val="28"/>
          <w:szCs w:val="28"/>
        </w:rPr>
        <w:t>х нагревающего климата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Ограждение и обозначение опасных зон на строительной площадке. В</w:t>
      </w:r>
      <w:r w:rsidRPr="00504EE0">
        <w:rPr>
          <w:sz w:val="28"/>
          <w:szCs w:val="28"/>
        </w:rPr>
        <w:t>и</w:t>
      </w:r>
      <w:r w:rsidRPr="00504EE0">
        <w:rPr>
          <w:sz w:val="28"/>
          <w:szCs w:val="28"/>
        </w:rPr>
        <w:t>ды предохранительных ограждени</w:t>
      </w:r>
      <w:r w:rsidRPr="00504EE0">
        <w:rPr>
          <w:sz w:val="28"/>
          <w:szCs w:val="28"/>
        </w:rPr>
        <w:t>й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Вредные вещества. Организация работ с использованием вредных в</w:t>
      </w:r>
      <w:r w:rsidRPr="00504EE0">
        <w:rPr>
          <w:sz w:val="28"/>
          <w:szCs w:val="28"/>
        </w:rPr>
        <w:t>е</w:t>
      </w:r>
      <w:r w:rsidR="00627C08" w:rsidRPr="00504EE0">
        <w:rPr>
          <w:sz w:val="28"/>
          <w:szCs w:val="28"/>
        </w:rPr>
        <w:t>ществ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Пожарная безопаснос</w:t>
      </w:r>
      <w:r w:rsidR="00627C08" w:rsidRPr="00504EE0">
        <w:rPr>
          <w:sz w:val="28"/>
          <w:szCs w:val="28"/>
        </w:rPr>
        <w:t>ть на строительной площадке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Электромагнитные поля и излучения. Принципы защиты от воздейс</w:t>
      </w:r>
      <w:r w:rsidRPr="00504EE0">
        <w:rPr>
          <w:sz w:val="28"/>
          <w:szCs w:val="28"/>
        </w:rPr>
        <w:t>т</w:t>
      </w:r>
      <w:r w:rsidRPr="00504EE0">
        <w:rPr>
          <w:sz w:val="28"/>
          <w:szCs w:val="28"/>
        </w:rPr>
        <w:t>вия электромагни</w:t>
      </w:r>
      <w:r w:rsidR="00627C08" w:rsidRPr="00504EE0">
        <w:rPr>
          <w:sz w:val="28"/>
          <w:szCs w:val="28"/>
        </w:rPr>
        <w:t>тных полей и излучений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Производственная пыль и ее воздействие на организм человека. Мер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>приятия, позволяющие защитить работающих от воздействия пыли Ра</w:t>
      </w:r>
      <w:r w:rsidRPr="00504EE0">
        <w:rPr>
          <w:sz w:val="28"/>
          <w:szCs w:val="28"/>
        </w:rPr>
        <w:t>с</w:t>
      </w:r>
      <w:r w:rsidRPr="00504EE0">
        <w:rPr>
          <w:sz w:val="28"/>
          <w:szCs w:val="28"/>
        </w:rPr>
        <w:t xml:space="preserve">чет допустимого стажа </w:t>
      </w:r>
      <w:r w:rsidR="00627C08" w:rsidRPr="00504EE0">
        <w:rPr>
          <w:sz w:val="28"/>
          <w:szCs w:val="28"/>
        </w:rPr>
        <w:t>работы в запыленных условиях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 xml:space="preserve">Совокупное воздействие многих вредных факторов на </w:t>
      </w:r>
      <w:proofErr w:type="gramStart"/>
      <w:r w:rsidRPr="00504EE0">
        <w:rPr>
          <w:sz w:val="28"/>
          <w:szCs w:val="28"/>
        </w:rPr>
        <w:t>примере  р</w:t>
      </w:r>
      <w:r w:rsidRPr="00504EE0">
        <w:rPr>
          <w:sz w:val="28"/>
          <w:szCs w:val="28"/>
        </w:rPr>
        <w:t>а</w:t>
      </w:r>
      <w:r w:rsidRPr="00504EE0">
        <w:rPr>
          <w:sz w:val="28"/>
          <w:szCs w:val="28"/>
        </w:rPr>
        <w:t>боты</w:t>
      </w:r>
      <w:proofErr w:type="gramEnd"/>
      <w:r w:rsidRPr="00504EE0">
        <w:rPr>
          <w:sz w:val="28"/>
          <w:szCs w:val="28"/>
        </w:rPr>
        <w:t xml:space="preserve"> с персональной электронно-вычислительной машиной (ПВЭМ). Треб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>вания к помещениям и организация рабо</w:t>
      </w:r>
      <w:r w:rsidR="00627C08" w:rsidRPr="00504EE0">
        <w:rPr>
          <w:sz w:val="28"/>
          <w:szCs w:val="28"/>
        </w:rPr>
        <w:t>ты с использованием ПЭВМ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Электробез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>пасность н</w:t>
      </w:r>
      <w:r w:rsidR="00627C08" w:rsidRPr="00504EE0">
        <w:rPr>
          <w:sz w:val="28"/>
          <w:szCs w:val="28"/>
        </w:rPr>
        <w:t>а строительной площадке</w:t>
      </w:r>
      <w:r w:rsidRPr="00504EE0">
        <w:rPr>
          <w:sz w:val="28"/>
          <w:szCs w:val="28"/>
        </w:rPr>
        <w:t>.</w:t>
      </w:r>
      <w:bookmarkStart w:id="1" w:name="_Toc528370627"/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Состав и содержание основных проектных решений по безопасности труда в организационно-технологической документации в строительс</w:t>
      </w:r>
      <w:r w:rsidRPr="00504EE0">
        <w:rPr>
          <w:sz w:val="28"/>
          <w:szCs w:val="28"/>
        </w:rPr>
        <w:t>т</w:t>
      </w:r>
      <w:r w:rsidRPr="00504EE0">
        <w:rPr>
          <w:sz w:val="28"/>
          <w:szCs w:val="28"/>
        </w:rPr>
        <w:t>ве</w:t>
      </w:r>
      <w:bookmarkEnd w:id="1"/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Проектные решения в ПОС и ППР, направленные на обеспечение безопасности труда при пр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 xml:space="preserve">ведении </w:t>
      </w:r>
      <w:r w:rsidR="00627C08" w:rsidRPr="00504EE0">
        <w:rPr>
          <w:sz w:val="28"/>
          <w:szCs w:val="28"/>
        </w:rPr>
        <w:t>работ на высоте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Проектные решения в ПОС и ППР, направленные на обеспечение безопасности труда при проведении земл</w:t>
      </w:r>
      <w:r w:rsidRPr="00504EE0">
        <w:rPr>
          <w:sz w:val="28"/>
          <w:szCs w:val="28"/>
        </w:rPr>
        <w:t>я</w:t>
      </w:r>
      <w:r w:rsidR="00627C08" w:rsidRPr="00504EE0">
        <w:rPr>
          <w:sz w:val="28"/>
          <w:szCs w:val="28"/>
        </w:rPr>
        <w:t>ных работ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 xml:space="preserve">Проектные решения, направленные на обеспечение безопасности при эксплуатации </w:t>
      </w:r>
      <w:r w:rsidR="00627C08" w:rsidRPr="00504EE0">
        <w:rPr>
          <w:sz w:val="28"/>
          <w:szCs w:val="28"/>
        </w:rPr>
        <w:t>машин и механизмов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Организация производственных территорий, участков работ и раб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 xml:space="preserve">чих мест на </w:t>
      </w:r>
      <w:proofErr w:type="gramStart"/>
      <w:r w:rsidRPr="00504EE0">
        <w:rPr>
          <w:sz w:val="28"/>
          <w:szCs w:val="28"/>
        </w:rPr>
        <w:t>ст</w:t>
      </w:r>
      <w:r w:rsidR="00627C08" w:rsidRPr="00504EE0">
        <w:rPr>
          <w:sz w:val="28"/>
          <w:szCs w:val="28"/>
        </w:rPr>
        <w:t>роящихся  объектах</w:t>
      </w:r>
      <w:proofErr w:type="gramEnd"/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Организация работ с повышенной опасностью. Перечень работ, для в</w:t>
      </w:r>
      <w:r w:rsidRPr="00504EE0">
        <w:rPr>
          <w:sz w:val="28"/>
          <w:szCs w:val="28"/>
        </w:rPr>
        <w:t>ы</w:t>
      </w:r>
      <w:r w:rsidRPr="00504EE0">
        <w:rPr>
          <w:sz w:val="28"/>
          <w:szCs w:val="28"/>
        </w:rPr>
        <w:t>полнения которых необходимо выдавать наряд-допуск. Порядо</w:t>
      </w:r>
      <w:r w:rsidR="00627C08" w:rsidRPr="00504EE0">
        <w:rPr>
          <w:sz w:val="28"/>
          <w:szCs w:val="28"/>
        </w:rPr>
        <w:t>к выдачи наряда-допуска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Категорирование помещений и зданий по</w:t>
      </w:r>
      <w:r w:rsidR="00627C08" w:rsidRPr="00504EE0">
        <w:rPr>
          <w:sz w:val="28"/>
          <w:szCs w:val="28"/>
        </w:rPr>
        <w:t xml:space="preserve"> взрывопожарной опасности. 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Классификация строительных матер</w:t>
      </w:r>
      <w:r w:rsidR="00627C08" w:rsidRPr="00504EE0">
        <w:rPr>
          <w:sz w:val="28"/>
          <w:szCs w:val="28"/>
        </w:rPr>
        <w:t>иалов по пожарной опасности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Классификация строительных конструкций и зданий по пожарной опа</w:t>
      </w:r>
      <w:r w:rsidRPr="00504EE0">
        <w:rPr>
          <w:sz w:val="28"/>
          <w:szCs w:val="28"/>
        </w:rPr>
        <w:t>с</w:t>
      </w:r>
      <w:r w:rsidR="00627C08" w:rsidRPr="00504EE0">
        <w:rPr>
          <w:sz w:val="28"/>
          <w:szCs w:val="28"/>
        </w:rPr>
        <w:t>ности и огнестойкости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Огнестойкость металлических конструкций. Способы повышения огн</w:t>
      </w:r>
      <w:r w:rsidRPr="00504EE0">
        <w:rPr>
          <w:sz w:val="28"/>
          <w:szCs w:val="28"/>
        </w:rPr>
        <w:t>е</w:t>
      </w:r>
      <w:r w:rsidRPr="00504EE0">
        <w:rPr>
          <w:sz w:val="28"/>
          <w:szCs w:val="28"/>
        </w:rPr>
        <w:t>стойкост</w:t>
      </w:r>
      <w:r w:rsidR="00627C08" w:rsidRPr="00504EE0">
        <w:rPr>
          <w:sz w:val="28"/>
          <w:szCs w:val="28"/>
        </w:rPr>
        <w:t>и металлических конструкций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Огнесто</w:t>
      </w:r>
      <w:r w:rsidR="00627C08" w:rsidRPr="00504EE0">
        <w:rPr>
          <w:sz w:val="28"/>
          <w:szCs w:val="28"/>
        </w:rPr>
        <w:t>йкость каменных конструкций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Огнестойкость бетонных и</w:t>
      </w:r>
      <w:r w:rsidR="00627C08" w:rsidRPr="00504EE0">
        <w:rPr>
          <w:sz w:val="28"/>
          <w:szCs w:val="28"/>
        </w:rPr>
        <w:t xml:space="preserve"> железобетонных конструкций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lastRenderedPageBreak/>
        <w:t>Особенности устройства деревянных конструкций и их поведение в условиях огня. Огнезащита деревянных ко</w:t>
      </w:r>
      <w:r w:rsidRPr="00504EE0">
        <w:rPr>
          <w:sz w:val="28"/>
          <w:szCs w:val="28"/>
        </w:rPr>
        <w:t>н</w:t>
      </w:r>
      <w:r w:rsidR="00627C08" w:rsidRPr="00504EE0">
        <w:rPr>
          <w:sz w:val="28"/>
          <w:szCs w:val="28"/>
        </w:rPr>
        <w:t>струкций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Огнестойкость конструкций, содержащих полимерные материалы. Сп</w:t>
      </w:r>
      <w:r w:rsidRPr="00504EE0">
        <w:rPr>
          <w:sz w:val="28"/>
          <w:szCs w:val="28"/>
        </w:rPr>
        <w:t>о</w:t>
      </w:r>
      <w:r w:rsidRPr="00504EE0">
        <w:rPr>
          <w:sz w:val="28"/>
          <w:szCs w:val="28"/>
        </w:rPr>
        <w:t>собы</w:t>
      </w:r>
      <w:r w:rsidR="00627C08" w:rsidRPr="00504EE0">
        <w:rPr>
          <w:sz w:val="28"/>
          <w:szCs w:val="28"/>
        </w:rPr>
        <w:t xml:space="preserve"> повышения их огнестойкости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Особенности вынужденной эвакуации. Т</w:t>
      </w:r>
      <w:r w:rsidR="00627C08" w:rsidRPr="00504EE0">
        <w:rPr>
          <w:sz w:val="28"/>
          <w:szCs w:val="28"/>
        </w:rPr>
        <w:t>ребования к путям эвакуации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t>Выбор способо</w:t>
      </w:r>
      <w:r w:rsidR="00627C08" w:rsidRPr="00504EE0">
        <w:rPr>
          <w:sz w:val="28"/>
          <w:szCs w:val="28"/>
        </w:rPr>
        <w:t>в и средств тушения пожаров</w:t>
      </w:r>
      <w:r w:rsidRPr="00504EE0">
        <w:rPr>
          <w:sz w:val="28"/>
          <w:szCs w:val="28"/>
        </w:rPr>
        <w:t>.</w:t>
      </w:r>
    </w:p>
    <w:p w:rsidR="003545DF" w:rsidRPr="00504EE0" w:rsidRDefault="003545DF" w:rsidP="003545D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4EE0">
        <w:rPr>
          <w:sz w:val="28"/>
          <w:szCs w:val="28"/>
        </w:rPr>
        <w:br w:type="page"/>
      </w:r>
    </w:p>
    <w:p w:rsidR="003545DF" w:rsidRPr="00504EE0" w:rsidRDefault="003545DF" w:rsidP="003545DF">
      <w:pPr>
        <w:jc w:val="both"/>
        <w:rPr>
          <w:sz w:val="28"/>
          <w:szCs w:val="28"/>
        </w:rPr>
      </w:pPr>
    </w:p>
    <w:sectPr w:rsidR="003545DF" w:rsidRPr="005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E2E4B"/>
    <w:multiLevelType w:val="singleLevel"/>
    <w:tmpl w:val="B2F4C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</w:abstractNum>
  <w:abstractNum w:abstractNumId="1">
    <w:nsid w:val="79C30B61"/>
    <w:multiLevelType w:val="hybridMultilevel"/>
    <w:tmpl w:val="AE2AF764"/>
    <w:lvl w:ilvl="0" w:tplc="8AF2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F"/>
    <w:rsid w:val="001C1E0B"/>
    <w:rsid w:val="003545DF"/>
    <w:rsid w:val="00504EE0"/>
    <w:rsid w:val="00627C08"/>
    <w:rsid w:val="00B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0A35-C5C9-4412-B46B-45BE8586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504E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E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2015-09-06T06:35:00Z</dcterms:created>
  <dcterms:modified xsi:type="dcterms:W3CDTF">2015-09-06T06:50:00Z</dcterms:modified>
</cp:coreProperties>
</file>